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83" w:rsidRDefault="003F752A">
      <w:pPr>
        <w:rPr>
          <w:b/>
        </w:rPr>
      </w:pPr>
      <w:bookmarkStart w:id="0" w:name="_GoBack"/>
      <w:bookmarkEnd w:id="0"/>
      <w:r>
        <w:rPr>
          <w:b/>
        </w:rPr>
        <w:t xml:space="preserve">SECTION 1: </w:t>
      </w:r>
      <w:r w:rsidR="003E61A2">
        <w:rPr>
          <w:b/>
        </w:rPr>
        <w:t>PROVIDER HANDBOOK QUESTIONS</w:t>
      </w:r>
    </w:p>
    <w:p w:rsidR="003E61A2" w:rsidRPr="00BF5E71" w:rsidRDefault="00480690">
      <w:r>
        <w:t>In the last few years CQC has made changes to its guidance for providers.  In order to assess the impact of these changes we would like your answers the following questions:</w:t>
      </w:r>
    </w:p>
    <w:p w:rsidR="003E61A2" w:rsidRPr="00480690" w:rsidRDefault="003E61A2" w:rsidP="003E61A2">
      <w:pPr>
        <w:pStyle w:val="ListParagraph"/>
        <w:numPr>
          <w:ilvl w:val="0"/>
          <w:numId w:val="1"/>
        </w:numPr>
      </w:pPr>
      <w:r w:rsidRPr="00480690">
        <w:t xml:space="preserve">For Residential Social Care, Domiciliary Care Service and Hospice Services </w:t>
      </w:r>
      <w:r w:rsidR="00D348C3">
        <w:t xml:space="preserve">we would assume that in most cases </w:t>
      </w:r>
      <w:r w:rsidRPr="00480690">
        <w:t>provider guidance will be read by:</w:t>
      </w:r>
    </w:p>
    <w:p w:rsidR="003E61A2" w:rsidRPr="00480690" w:rsidRDefault="003E61A2" w:rsidP="003E61A2">
      <w:pPr>
        <w:pStyle w:val="ListParagraph"/>
        <w:numPr>
          <w:ilvl w:val="0"/>
          <w:numId w:val="2"/>
        </w:numPr>
      </w:pPr>
      <w:r w:rsidRPr="00480690">
        <w:t>The Registered  Manager (per location)</w:t>
      </w:r>
    </w:p>
    <w:p w:rsidR="003E61A2" w:rsidRPr="00480690" w:rsidRDefault="003E61A2" w:rsidP="003E61A2">
      <w:pPr>
        <w:pStyle w:val="ListParagraph"/>
        <w:numPr>
          <w:ilvl w:val="0"/>
          <w:numId w:val="2"/>
        </w:numPr>
      </w:pPr>
      <w:r w:rsidRPr="00480690">
        <w:t>The Nominated Individual (per location)</w:t>
      </w:r>
    </w:p>
    <w:p w:rsidR="003E61A2" w:rsidRPr="00480690" w:rsidRDefault="003E61A2" w:rsidP="00BF5E71">
      <w:pPr>
        <w:pStyle w:val="ListParagraph"/>
        <w:numPr>
          <w:ilvl w:val="0"/>
          <w:numId w:val="2"/>
        </w:numPr>
      </w:pPr>
      <w:r w:rsidRPr="00480690">
        <w:t xml:space="preserve">An Operations Director (per registered provider, for corporate providers only) </w:t>
      </w:r>
      <w:r w:rsidR="00BF5E71">
        <w:br/>
      </w:r>
    </w:p>
    <w:p w:rsidR="003E61A2" w:rsidRPr="00480690" w:rsidRDefault="003E61A2" w:rsidP="003F752A">
      <w:pPr>
        <w:pStyle w:val="ListParagraph"/>
        <w:numPr>
          <w:ilvl w:val="0"/>
          <w:numId w:val="10"/>
        </w:numPr>
      </w:pPr>
      <w:r w:rsidRPr="00480690">
        <w:t>Do you agree with these assumptions</w:t>
      </w:r>
      <w:r w:rsidR="00D348C3">
        <w:t xml:space="preserve"> about who will read the guidance</w:t>
      </w:r>
      <w:r w:rsidRPr="00480690">
        <w:t>? (Yes/No)</w:t>
      </w:r>
    </w:p>
    <w:p w:rsidR="003E61A2" w:rsidRPr="00480690" w:rsidRDefault="003E61A2" w:rsidP="003E61A2">
      <w:pPr>
        <w:ind w:left="720"/>
      </w:pPr>
    </w:p>
    <w:p w:rsidR="003E61A2" w:rsidRPr="00480690" w:rsidRDefault="003E61A2" w:rsidP="003F752A">
      <w:pPr>
        <w:pStyle w:val="ListParagraph"/>
        <w:numPr>
          <w:ilvl w:val="0"/>
          <w:numId w:val="10"/>
        </w:numPr>
      </w:pPr>
      <w:r w:rsidRPr="00480690">
        <w:t>If no, what do you think the assumptions should be</w:t>
      </w:r>
      <w:r w:rsidR="00D348C3">
        <w:t xml:space="preserve"> about who will use the guidance</w:t>
      </w:r>
      <w:r w:rsidRPr="00480690">
        <w:t>?</w:t>
      </w:r>
    </w:p>
    <w:p w:rsidR="003E61A2" w:rsidRPr="00480690" w:rsidRDefault="003E61A2" w:rsidP="003E61A2"/>
    <w:p w:rsidR="003E61A2" w:rsidRPr="00480690" w:rsidRDefault="003E61A2" w:rsidP="003E61A2">
      <w:pPr>
        <w:pStyle w:val="ListParagraph"/>
        <w:numPr>
          <w:ilvl w:val="0"/>
          <w:numId w:val="1"/>
        </w:numPr>
      </w:pPr>
      <w:r w:rsidRPr="00480690">
        <w:t>We will use job categories in ONS data to calculate average (median) salaries for different roles. Please can you indicate which ONS job categories we are best to use for each of the following roles:</w:t>
      </w:r>
    </w:p>
    <w:p w:rsidR="003E61A2" w:rsidRPr="00480690" w:rsidRDefault="003E61A2" w:rsidP="003E61A2">
      <w:pPr>
        <w:pStyle w:val="ListParagraph"/>
      </w:pPr>
    </w:p>
    <w:tbl>
      <w:tblPr>
        <w:tblW w:w="0" w:type="auto"/>
        <w:tblInd w:w="720" w:type="dxa"/>
        <w:tblCellMar>
          <w:left w:w="0" w:type="dxa"/>
          <w:right w:w="0" w:type="dxa"/>
        </w:tblCellMar>
        <w:tblLook w:val="04A0" w:firstRow="1" w:lastRow="0" w:firstColumn="1" w:lastColumn="0" w:noHBand="0" w:noVBand="1"/>
      </w:tblPr>
      <w:tblGrid>
        <w:gridCol w:w="1107"/>
        <w:gridCol w:w="1315"/>
        <w:gridCol w:w="1958"/>
        <w:gridCol w:w="2175"/>
        <w:gridCol w:w="1967"/>
      </w:tblGrid>
      <w:tr w:rsidR="00480690" w:rsidRPr="00480690" w:rsidTr="003E61A2">
        <w:tc>
          <w:tcPr>
            <w:tcW w:w="1268" w:type="dxa"/>
            <w:vMerge w:val="restart"/>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3E61A2" w:rsidRPr="00480690" w:rsidRDefault="003E61A2">
            <w:pPr>
              <w:pStyle w:val="ListParagraph"/>
              <w:ind w:left="0"/>
              <w:jc w:val="center"/>
              <w:rPr>
                <w:b/>
                <w:bCs/>
              </w:rPr>
            </w:pPr>
            <w:r w:rsidRPr="00480690">
              <w:rPr>
                <w:b/>
                <w:bCs/>
              </w:rPr>
              <w:t>Sector</w:t>
            </w:r>
          </w:p>
        </w:tc>
        <w:tc>
          <w:tcPr>
            <w:tcW w:w="1352" w:type="dxa"/>
            <w:vMerge w:val="restart"/>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3E61A2" w:rsidRPr="00480690" w:rsidRDefault="003E61A2">
            <w:pPr>
              <w:pStyle w:val="ListParagraph"/>
              <w:ind w:left="0"/>
              <w:jc w:val="center"/>
              <w:rPr>
                <w:b/>
                <w:bCs/>
              </w:rPr>
            </w:pPr>
            <w:r w:rsidRPr="00480690">
              <w:rPr>
                <w:b/>
                <w:bCs/>
              </w:rPr>
              <w:t>Roles</w:t>
            </w:r>
          </w:p>
        </w:tc>
        <w:tc>
          <w:tcPr>
            <w:tcW w:w="7142" w:type="dxa"/>
            <w:gridSpan w:val="3"/>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3E61A2" w:rsidRPr="00480690" w:rsidRDefault="003E61A2">
            <w:pPr>
              <w:pStyle w:val="ListParagraph"/>
              <w:ind w:left="0"/>
              <w:rPr>
                <w:b/>
                <w:bCs/>
              </w:rPr>
            </w:pPr>
            <w:r w:rsidRPr="00480690">
              <w:rPr>
                <w:b/>
                <w:bCs/>
              </w:rPr>
              <w:t xml:space="preserve">                                                ONS Job Categories          </w:t>
            </w:r>
          </w:p>
        </w:tc>
      </w:tr>
      <w:tr w:rsidR="00480690" w:rsidRPr="00480690" w:rsidTr="003E61A2">
        <w:tc>
          <w:tcPr>
            <w:tcW w:w="0" w:type="auto"/>
            <w:vMerge/>
            <w:tcBorders>
              <w:top w:val="single" w:sz="8" w:space="0" w:color="auto"/>
              <w:left w:val="single" w:sz="8" w:space="0" w:color="auto"/>
              <w:bottom w:val="single" w:sz="8" w:space="0" w:color="auto"/>
              <w:right w:val="single" w:sz="8" w:space="0" w:color="auto"/>
            </w:tcBorders>
            <w:vAlign w:val="center"/>
            <w:hideMark/>
          </w:tcPr>
          <w:p w:rsidR="003E61A2" w:rsidRPr="00480690" w:rsidRDefault="003E61A2">
            <w:pPr>
              <w:rPr>
                <w:rFonts w:ascii="Calibri" w:hAnsi="Calibri" w:cs="Calibri"/>
                <w:b/>
                <w:bCs/>
              </w:rPr>
            </w:pPr>
          </w:p>
        </w:tc>
        <w:tc>
          <w:tcPr>
            <w:tcW w:w="0" w:type="auto"/>
            <w:vMerge/>
            <w:tcBorders>
              <w:top w:val="single" w:sz="8" w:space="0" w:color="auto"/>
              <w:left w:val="nil"/>
              <w:bottom w:val="single" w:sz="8" w:space="0" w:color="auto"/>
              <w:right w:val="single" w:sz="8" w:space="0" w:color="auto"/>
            </w:tcBorders>
            <w:vAlign w:val="center"/>
            <w:hideMark/>
          </w:tcPr>
          <w:p w:rsidR="003E61A2" w:rsidRPr="00480690" w:rsidRDefault="003E61A2">
            <w:pPr>
              <w:rPr>
                <w:rFonts w:ascii="Calibri" w:hAnsi="Calibri" w:cs="Calibri"/>
                <w:b/>
                <w:bCs/>
              </w:rPr>
            </w:pPr>
          </w:p>
        </w:tc>
        <w:tc>
          <w:tcPr>
            <w:tcW w:w="232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E61A2" w:rsidRPr="00480690" w:rsidRDefault="003E61A2">
            <w:pPr>
              <w:pStyle w:val="ListParagraph"/>
              <w:ind w:left="0"/>
              <w:jc w:val="center"/>
              <w:rPr>
                <w:b/>
                <w:bCs/>
              </w:rPr>
            </w:pPr>
            <w:r w:rsidRPr="00480690">
              <w:rPr>
                <w:b/>
                <w:bCs/>
              </w:rPr>
              <w:t>Managers and proprietors in health and care services</w:t>
            </w:r>
          </w:p>
          <w:p w:rsidR="003E61A2" w:rsidRPr="00480690" w:rsidRDefault="003E61A2">
            <w:pPr>
              <w:pStyle w:val="ListParagraph"/>
              <w:ind w:left="0"/>
              <w:jc w:val="center"/>
              <w:rPr>
                <w:b/>
                <w:bCs/>
              </w:rPr>
            </w:pPr>
            <w:r w:rsidRPr="00480690">
              <w:rPr>
                <w:b/>
                <w:bCs/>
              </w:rPr>
              <w:t>(Median Salary £15.38/ hr)</w:t>
            </w:r>
          </w:p>
        </w:tc>
        <w:tc>
          <w:tcPr>
            <w:tcW w:w="241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E61A2" w:rsidRPr="00480690" w:rsidRDefault="003E61A2">
            <w:pPr>
              <w:pStyle w:val="ListParagraph"/>
              <w:ind w:left="0"/>
              <w:jc w:val="center"/>
              <w:rPr>
                <w:b/>
                <w:bCs/>
              </w:rPr>
            </w:pPr>
            <w:r w:rsidRPr="00480690">
              <w:rPr>
                <w:b/>
                <w:bCs/>
              </w:rPr>
              <w:t>Residential, day and domiciliary  care managers and proprietors</w:t>
            </w:r>
          </w:p>
          <w:p w:rsidR="003E61A2" w:rsidRPr="00480690" w:rsidRDefault="003E61A2">
            <w:pPr>
              <w:pStyle w:val="ListParagraph"/>
              <w:ind w:left="0"/>
              <w:jc w:val="center"/>
              <w:rPr>
                <w:b/>
                <w:bCs/>
              </w:rPr>
            </w:pPr>
            <w:r w:rsidRPr="00480690">
              <w:rPr>
                <w:b/>
                <w:bCs/>
              </w:rPr>
              <w:t>(Median Salary £15.36/ hr)</w:t>
            </w:r>
          </w:p>
        </w:tc>
        <w:tc>
          <w:tcPr>
            <w:tcW w:w="241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E61A2" w:rsidRPr="00480690" w:rsidRDefault="003E61A2">
            <w:pPr>
              <w:pStyle w:val="ListParagraph"/>
              <w:ind w:left="0"/>
              <w:jc w:val="center"/>
              <w:rPr>
                <w:b/>
                <w:bCs/>
              </w:rPr>
            </w:pPr>
            <w:r w:rsidRPr="00480690">
              <w:rPr>
                <w:b/>
                <w:bCs/>
              </w:rPr>
              <w:t xml:space="preserve">Health and social services managers and directors </w:t>
            </w:r>
          </w:p>
          <w:p w:rsidR="003E61A2" w:rsidRPr="00480690" w:rsidRDefault="003E61A2">
            <w:pPr>
              <w:pStyle w:val="ListParagraph"/>
              <w:ind w:left="0"/>
              <w:jc w:val="center"/>
              <w:rPr>
                <w:b/>
                <w:bCs/>
              </w:rPr>
            </w:pPr>
            <w:r w:rsidRPr="00480690">
              <w:rPr>
                <w:b/>
                <w:bCs/>
              </w:rPr>
              <w:t>(Median Salary £21.78/ hr)</w:t>
            </w:r>
          </w:p>
        </w:tc>
      </w:tr>
      <w:tr w:rsidR="00480690" w:rsidRPr="00480690" w:rsidTr="003E61A2">
        <w:trPr>
          <w:trHeight w:val="499"/>
        </w:trPr>
        <w:tc>
          <w:tcPr>
            <w:tcW w:w="1268" w:type="dxa"/>
            <w:vMerge w:val="restart"/>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extDirection w:val="btLr"/>
            <w:hideMark/>
          </w:tcPr>
          <w:p w:rsidR="003E61A2" w:rsidRPr="00480690" w:rsidRDefault="003E61A2">
            <w:pPr>
              <w:pStyle w:val="ListParagraph"/>
              <w:ind w:left="113" w:right="113"/>
              <w:jc w:val="center"/>
              <w:rPr>
                <w:b/>
                <w:bCs/>
              </w:rPr>
            </w:pPr>
            <w:r w:rsidRPr="00480690">
              <w:rPr>
                <w:b/>
                <w:bCs/>
              </w:rPr>
              <w:t>Residential Adult Social Care</w:t>
            </w:r>
          </w:p>
        </w:tc>
        <w:tc>
          <w:tcPr>
            <w:tcW w:w="135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3E61A2" w:rsidRPr="00480690" w:rsidRDefault="003E61A2">
            <w:pPr>
              <w:pStyle w:val="ListParagraph"/>
              <w:ind w:left="0"/>
              <w:rPr>
                <w:b/>
                <w:bCs/>
              </w:rPr>
            </w:pPr>
            <w:r w:rsidRPr="00480690">
              <w:rPr>
                <w:b/>
                <w:bCs/>
              </w:rPr>
              <w:t>Registered</w:t>
            </w:r>
          </w:p>
          <w:p w:rsidR="003E61A2" w:rsidRPr="00480690" w:rsidRDefault="003E61A2">
            <w:pPr>
              <w:pStyle w:val="ListParagraph"/>
              <w:ind w:left="0"/>
              <w:rPr>
                <w:b/>
                <w:bCs/>
              </w:rPr>
            </w:pPr>
            <w:r w:rsidRPr="00480690">
              <w:rPr>
                <w:b/>
                <w:bCs/>
              </w:rPr>
              <w:t>Manager</w:t>
            </w:r>
          </w:p>
        </w:tc>
        <w:tc>
          <w:tcPr>
            <w:tcW w:w="23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r>
      <w:tr w:rsidR="00480690" w:rsidRPr="00480690" w:rsidTr="003E61A2">
        <w:trPr>
          <w:trHeight w:val="551"/>
        </w:trPr>
        <w:tc>
          <w:tcPr>
            <w:tcW w:w="0" w:type="auto"/>
            <w:vMerge/>
            <w:tcBorders>
              <w:top w:val="nil"/>
              <w:left w:val="single" w:sz="8" w:space="0" w:color="auto"/>
              <w:bottom w:val="single" w:sz="8" w:space="0" w:color="auto"/>
              <w:right w:val="single" w:sz="8" w:space="0" w:color="auto"/>
            </w:tcBorders>
            <w:vAlign w:val="center"/>
            <w:hideMark/>
          </w:tcPr>
          <w:p w:rsidR="003E61A2" w:rsidRPr="00480690" w:rsidRDefault="003E61A2">
            <w:pPr>
              <w:rPr>
                <w:rFonts w:ascii="Calibri" w:hAnsi="Calibri" w:cs="Calibri"/>
                <w:b/>
                <w:bCs/>
              </w:rPr>
            </w:pPr>
          </w:p>
        </w:tc>
        <w:tc>
          <w:tcPr>
            <w:tcW w:w="135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3E61A2" w:rsidRPr="00480690" w:rsidRDefault="003E61A2">
            <w:pPr>
              <w:pStyle w:val="ListParagraph"/>
              <w:ind w:left="0"/>
              <w:rPr>
                <w:b/>
                <w:bCs/>
              </w:rPr>
            </w:pPr>
            <w:r w:rsidRPr="00480690">
              <w:rPr>
                <w:b/>
                <w:bCs/>
              </w:rPr>
              <w:t>Nominated Individual</w:t>
            </w:r>
          </w:p>
        </w:tc>
        <w:tc>
          <w:tcPr>
            <w:tcW w:w="23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r>
      <w:tr w:rsidR="00480690" w:rsidRPr="00480690" w:rsidTr="003E61A2">
        <w:trPr>
          <w:trHeight w:val="557"/>
        </w:trPr>
        <w:tc>
          <w:tcPr>
            <w:tcW w:w="0" w:type="auto"/>
            <w:vMerge/>
            <w:tcBorders>
              <w:top w:val="nil"/>
              <w:left w:val="single" w:sz="8" w:space="0" w:color="auto"/>
              <w:bottom w:val="single" w:sz="8" w:space="0" w:color="auto"/>
              <w:right w:val="single" w:sz="8" w:space="0" w:color="auto"/>
            </w:tcBorders>
            <w:vAlign w:val="center"/>
            <w:hideMark/>
          </w:tcPr>
          <w:p w:rsidR="003E61A2" w:rsidRPr="00480690" w:rsidRDefault="003E61A2">
            <w:pPr>
              <w:rPr>
                <w:rFonts w:ascii="Calibri" w:hAnsi="Calibri" w:cs="Calibri"/>
                <w:b/>
                <w:bCs/>
              </w:rPr>
            </w:pPr>
          </w:p>
        </w:tc>
        <w:tc>
          <w:tcPr>
            <w:tcW w:w="135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3E61A2" w:rsidRPr="00480690" w:rsidRDefault="003E61A2">
            <w:pPr>
              <w:pStyle w:val="ListParagraph"/>
              <w:ind w:left="0"/>
              <w:rPr>
                <w:b/>
                <w:bCs/>
              </w:rPr>
            </w:pPr>
            <w:r w:rsidRPr="00480690">
              <w:rPr>
                <w:b/>
                <w:bCs/>
              </w:rPr>
              <w:t>Operations Director</w:t>
            </w:r>
          </w:p>
        </w:tc>
        <w:tc>
          <w:tcPr>
            <w:tcW w:w="23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r>
      <w:tr w:rsidR="00480690" w:rsidRPr="00480690" w:rsidTr="003E61A2">
        <w:trPr>
          <w:trHeight w:val="551"/>
        </w:trPr>
        <w:tc>
          <w:tcPr>
            <w:tcW w:w="1268" w:type="dxa"/>
            <w:vMerge w:val="restart"/>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extDirection w:val="btLr"/>
            <w:hideMark/>
          </w:tcPr>
          <w:p w:rsidR="003E61A2" w:rsidRPr="00480690" w:rsidRDefault="003E61A2">
            <w:pPr>
              <w:pStyle w:val="ListParagraph"/>
              <w:ind w:left="113" w:right="113"/>
              <w:jc w:val="center"/>
              <w:rPr>
                <w:b/>
                <w:bCs/>
              </w:rPr>
            </w:pPr>
            <w:r w:rsidRPr="00480690">
              <w:rPr>
                <w:b/>
                <w:bCs/>
              </w:rPr>
              <w:t>Community Adult Social Care</w:t>
            </w:r>
          </w:p>
        </w:tc>
        <w:tc>
          <w:tcPr>
            <w:tcW w:w="135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3E61A2" w:rsidRPr="00480690" w:rsidRDefault="003E61A2">
            <w:pPr>
              <w:pStyle w:val="ListParagraph"/>
              <w:ind w:left="0"/>
              <w:rPr>
                <w:b/>
                <w:bCs/>
              </w:rPr>
            </w:pPr>
            <w:r w:rsidRPr="00480690">
              <w:rPr>
                <w:b/>
                <w:bCs/>
              </w:rPr>
              <w:t>Registered</w:t>
            </w:r>
          </w:p>
          <w:p w:rsidR="003E61A2" w:rsidRPr="00480690" w:rsidRDefault="003E61A2">
            <w:pPr>
              <w:pStyle w:val="ListParagraph"/>
              <w:ind w:left="0"/>
              <w:rPr>
                <w:b/>
                <w:bCs/>
              </w:rPr>
            </w:pPr>
            <w:r w:rsidRPr="00480690">
              <w:rPr>
                <w:b/>
                <w:bCs/>
              </w:rPr>
              <w:t>Manager</w:t>
            </w:r>
          </w:p>
        </w:tc>
        <w:tc>
          <w:tcPr>
            <w:tcW w:w="23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r>
      <w:tr w:rsidR="00480690" w:rsidRPr="00480690" w:rsidTr="003E61A2">
        <w:trPr>
          <w:trHeight w:val="559"/>
        </w:trPr>
        <w:tc>
          <w:tcPr>
            <w:tcW w:w="0" w:type="auto"/>
            <w:vMerge/>
            <w:tcBorders>
              <w:top w:val="nil"/>
              <w:left w:val="single" w:sz="8" w:space="0" w:color="auto"/>
              <w:bottom w:val="single" w:sz="8" w:space="0" w:color="auto"/>
              <w:right w:val="single" w:sz="8" w:space="0" w:color="auto"/>
            </w:tcBorders>
            <w:vAlign w:val="center"/>
            <w:hideMark/>
          </w:tcPr>
          <w:p w:rsidR="003E61A2" w:rsidRPr="00480690" w:rsidRDefault="003E61A2">
            <w:pPr>
              <w:rPr>
                <w:rFonts w:ascii="Calibri" w:hAnsi="Calibri" w:cs="Calibri"/>
                <w:b/>
                <w:bCs/>
              </w:rPr>
            </w:pPr>
          </w:p>
        </w:tc>
        <w:tc>
          <w:tcPr>
            <w:tcW w:w="135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3E61A2" w:rsidRPr="00480690" w:rsidRDefault="003E61A2">
            <w:pPr>
              <w:pStyle w:val="ListParagraph"/>
              <w:ind w:left="0"/>
              <w:rPr>
                <w:b/>
                <w:bCs/>
              </w:rPr>
            </w:pPr>
            <w:r w:rsidRPr="00480690">
              <w:rPr>
                <w:b/>
                <w:bCs/>
              </w:rPr>
              <w:t>Nominated Individual</w:t>
            </w:r>
          </w:p>
        </w:tc>
        <w:tc>
          <w:tcPr>
            <w:tcW w:w="23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r>
      <w:tr w:rsidR="00480690" w:rsidRPr="00480690" w:rsidTr="003E61A2">
        <w:trPr>
          <w:trHeight w:val="553"/>
        </w:trPr>
        <w:tc>
          <w:tcPr>
            <w:tcW w:w="0" w:type="auto"/>
            <w:vMerge/>
            <w:tcBorders>
              <w:top w:val="nil"/>
              <w:left w:val="single" w:sz="8" w:space="0" w:color="auto"/>
              <w:bottom w:val="single" w:sz="8" w:space="0" w:color="auto"/>
              <w:right w:val="single" w:sz="8" w:space="0" w:color="auto"/>
            </w:tcBorders>
            <w:vAlign w:val="center"/>
            <w:hideMark/>
          </w:tcPr>
          <w:p w:rsidR="003E61A2" w:rsidRPr="00480690" w:rsidRDefault="003E61A2">
            <w:pPr>
              <w:rPr>
                <w:rFonts w:ascii="Calibri" w:hAnsi="Calibri" w:cs="Calibri"/>
                <w:b/>
                <w:bCs/>
              </w:rPr>
            </w:pPr>
          </w:p>
        </w:tc>
        <w:tc>
          <w:tcPr>
            <w:tcW w:w="135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3E61A2" w:rsidRPr="00480690" w:rsidRDefault="003E61A2">
            <w:pPr>
              <w:pStyle w:val="ListParagraph"/>
              <w:ind w:left="0"/>
              <w:rPr>
                <w:b/>
                <w:bCs/>
              </w:rPr>
            </w:pPr>
            <w:r w:rsidRPr="00480690">
              <w:rPr>
                <w:b/>
                <w:bCs/>
              </w:rPr>
              <w:t>Operations Director</w:t>
            </w:r>
          </w:p>
        </w:tc>
        <w:tc>
          <w:tcPr>
            <w:tcW w:w="23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r>
      <w:tr w:rsidR="00480690" w:rsidRPr="00480690" w:rsidTr="003E61A2">
        <w:trPr>
          <w:trHeight w:val="547"/>
        </w:trPr>
        <w:tc>
          <w:tcPr>
            <w:tcW w:w="1268" w:type="dxa"/>
            <w:vMerge w:val="restart"/>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extDirection w:val="btLr"/>
            <w:hideMark/>
          </w:tcPr>
          <w:p w:rsidR="003E61A2" w:rsidRPr="00480690" w:rsidRDefault="003E61A2">
            <w:pPr>
              <w:pStyle w:val="ListParagraph"/>
              <w:ind w:left="113" w:right="113"/>
              <w:jc w:val="center"/>
              <w:rPr>
                <w:b/>
                <w:bCs/>
              </w:rPr>
            </w:pPr>
            <w:r w:rsidRPr="00480690">
              <w:rPr>
                <w:b/>
                <w:bCs/>
              </w:rPr>
              <w:t>Hospice Services</w:t>
            </w:r>
          </w:p>
        </w:tc>
        <w:tc>
          <w:tcPr>
            <w:tcW w:w="135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3E61A2" w:rsidRPr="00480690" w:rsidRDefault="003E61A2">
            <w:pPr>
              <w:pStyle w:val="ListParagraph"/>
              <w:ind w:left="0"/>
              <w:rPr>
                <w:b/>
                <w:bCs/>
              </w:rPr>
            </w:pPr>
            <w:r w:rsidRPr="00480690">
              <w:rPr>
                <w:b/>
                <w:bCs/>
              </w:rPr>
              <w:t>Registered</w:t>
            </w:r>
          </w:p>
          <w:p w:rsidR="003E61A2" w:rsidRPr="00480690" w:rsidRDefault="003E61A2">
            <w:pPr>
              <w:pStyle w:val="ListParagraph"/>
              <w:ind w:left="0"/>
              <w:rPr>
                <w:b/>
                <w:bCs/>
              </w:rPr>
            </w:pPr>
            <w:r w:rsidRPr="00480690">
              <w:rPr>
                <w:b/>
                <w:bCs/>
              </w:rPr>
              <w:t>Manager</w:t>
            </w:r>
          </w:p>
        </w:tc>
        <w:tc>
          <w:tcPr>
            <w:tcW w:w="23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r>
      <w:tr w:rsidR="00480690" w:rsidRPr="00480690" w:rsidTr="003E61A2">
        <w:trPr>
          <w:trHeight w:val="555"/>
        </w:trPr>
        <w:tc>
          <w:tcPr>
            <w:tcW w:w="0" w:type="auto"/>
            <w:vMerge/>
            <w:tcBorders>
              <w:top w:val="nil"/>
              <w:left w:val="single" w:sz="8" w:space="0" w:color="auto"/>
              <w:bottom w:val="single" w:sz="8" w:space="0" w:color="auto"/>
              <w:right w:val="single" w:sz="8" w:space="0" w:color="auto"/>
            </w:tcBorders>
            <w:vAlign w:val="center"/>
            <w:hideMark/>
          </w:tcPr>
          <w:p w:rsidR="003E61A2" w:rsidRPr="00480690" w:rsidRDefault="003E61A2">
            <w:pPr>
              <w:rPr>
                <w:rFonts w:ascii="Calibri" w:hAnsi="Calibri" w:cs="Calibri"/>
                <w:b/>
                <w:bCs/>
              </w:rPr>
            </w:pPr>
          </w:p>
        </w:tc>
        <w:tc>
          <w:tcPr>
            <w:tcW w:w="135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3E61A2" w:rsidRPr="00480690" w:rsidRDefault="003E61A2">
            <w:pPr>
              <w:pStyle w:val="ListParagraph"/>
              <w:ind w:left="0"/>
              <w:rPr>
                <w:b/>
                <w:bCs/>
              </w:rPr>
            </w:pPr>
            <w:r w:rsidRPr="00480690">
              <w:rPr>
                <w:b/>
                <w:bCs/>
              </w:rPr>
              <w:t>Nominated Individual</w:t>
            </w:r>
          </w:p>
        </w:tc>
        <w:tc>
          <w:tcPr>
            <w:tcW w:w="23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r>
      <w:tr w:rsidR="00480690" w:rsidRPr="00480690" w:rsidTr="003E61A2">
        <w:trPr>
          <w:trHeight w:val="563"/>
        </w:trPr>
        <w:tc>
          <w:tcPr>
            <w:tcW w:w="0" w:type="auto"/>
            <w:vMerge/>
            <w:tcBorders>
              <w:top w:val="nil"/>
              <w:left w:val="single" w:sz="8" w:space="0" w:color="auto"/>
              <w:bottom w:val="single" w:sz="8" w:space="0" w:color="auto"/>
              <w:right w:val="single" w:sz="8" w:space="0" w:color="auto"/>
            </w:tcBorders>
            <w:vAlign w:val="center"/>
            <w:hideMark/>
          </w:tcPr>
          <w:p w:rsidR="003E61A2" w:rsidRPr="00480690" w:rsidRDefault="003E61A2">
            <w:pPr>
              <w:rPr>
                <w:rFonts w:ascii="Calibri" w:hAnsi="Calibri" w:cs="Calibri"/>
                <w:b/>
                <w:bCs/>
              </w:rPr>
            </w:pPr>
          </w:p>
        </w:tc>
        <w:tc>
          <w:tcPr>
            <w:tcW w:w="135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3E61A2" w:rsidRPr="00480690" w:rsidRDefault="003E61A2">
            <w:pPr>
              <w:pStyle w:val="ListParagraph"/>
              <w:ind w:left="0"/>
              <w:rPr>
                <w:b/>
                <w:bCs/>
              </w:rPr>
            </w:pPr>
            <w:r w:rsidRPr="00480690">
              <w:rPr>
                <w:b/>
                <w:bCs/>
              </w:rPr>
              <w:t>Operations Director</w:t>
            </w:r>
          </w:p>
        </w:tc>
        <w:tc>
          <w:tcPr>
            <w:tcW w:w="23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3E61A2" w:rsidRPr="00480690" w:rsidRDefault="003E61A2">
            <w:pPr>
              <w:pStyle w:val="ListParagraph"/>
              <w:ind w:left="0"/>
            </w:pPr>
          </w:p>
        </w:tc>
      </w:tr>
    </w:tbl>
    <w:p w:rsidR="00BF5E71" w:rsidRDefault="003E61A2" w:rsidP="003E61A2">
      <w:r w:rsidRPr="00480690">
        <w:t> </w:t>
      </w:r>
    </w:p>
    <w:p w:rsidR="00BF5E71" w:rsidRDefault="00BF5E71" w:rsidP="003E61A2"/>
    <w:p w:rsidR="00BF5E71" w:rsidRDefault="00BF5E71" w:rsidP="003E61A2"/>
    <w:p w:rsidR="003E61A2" w:rsidRDefault="00BF5E71" w:rsidP="003E61A2">
      <w:r>
        <w:lastRenderedPageBreak/>
        <w:t xml:space="preserve">3) </w:t>
      </w:r>
      <w:r w:rsidR="003E61A2" w:rsidRPr="00480690">
        <w:t xml:space="preserve">If we make minor amendments to </w:t>
      </w:r>
      <w:proofErr w:type="spellStart"/>
      <w:r w:rsidR="003E61A2" w:rsidRPr="00480690">
        <w:t>provider</w:t>
      </w:r>
      <w:proofErr w:type="spellEnd"/>
      <w:r w:rsidR="003E61A2" w:rsidRPr="00480690">
        <w:t xml:space="preserve"> guidance (e.g. updating with new references, </w:t>
      </w:r>
      <w:r w:rsidR="003E61A2" w:rsidRPr="00BF5E71">
        <w:t>clarifying vague language, or removing or updating references to out of date policy, where the</w:t>
      </w:r>
      <w:r w:rsidR="003E61A2" w:rsidRPr="00480690">
        <w:t xml:space="preserve"> change in guidance does not in itself change what is required of services) we expect appropriate staff to familiarise themselves with what has changed as a one off activity only, rather than this affecting ongoing use of the guidance.</w:t>
      </w:r>
    </w:p>
    <w:p w:rsidR="00BF5E71" w:rsidRDefault="003F752A" w:rsidP="00BF5E71">
      <w:pPr>
        <w:ind w:left="1134" w:hanging="425"/>
      </w:pPr>
      <w:r>
        <w:t xml:space="preserve">a) </w:t>
      </w:r>
      <w:r w:rsidR="00BF5E71">
        <w:tab/>
      </w:r>
      <w:r w:rsidR="00D348C3">
        <w:t>Is this a</w:t>
      </w:r>
      <w:r w:rsidR="00BF5E71">
        <w:t xml:space="preserve"> reasonable assumption? (Yes/No)</w:t>
      </w:r>
    </w:p>
    <w:p w:rsidR="00D348C3" w:rsidRPr="00480690" w:rsidRDefault="00BF5E71" w:rsidP="00BF5E71">
      <w:pPr>
        <w:ind w:left="1134" w:hanging="425"/>
      </w:pPr>
      <w:r>
        <w:t xml:space="preserve">b) </w:t>
      </w:r>
      <w:r>
        <w:tab/>
      </w:r>
      <w:r w:rsidR="00D348C3" w:rsidRPr="00480690">
        <w:t>If no, what do you think the assumptions should be?</w:t>
      </w:r>
    </w:p>
    <w:p w:rsidR="00B1008D" w:rsidRDefault="00B1008D" w:rsidP="00B1008D">
      <w:pPr>
        <w:rPr>
          <w:b/>
          <w:caps/>
        </w:rPr>
      </w:pPr>
    </w:p>
    <w:p w:rsidR="00B1008D" w:rsidRPr="003F752A" w:rsidRDefault="003F752A" w:rsidP="00B1008D">
      <w:pPr>
        <w:rPr>
          <w:b/>
          <w:caps/>
        </w:rPr>
      </w:pPr>
      <w:r>
        <w:rPr>
          <w:b/>
          <w:caps/>
        </w:rPr>
        <w:t xml:space="preserve">SECTION 2: </w:t>
      </w:r>
      <w:r w:rsidR="00B1008D" w:rsidRPr="003F752A">
        <w:rPr>
          <w:b/>
          <w:caps/>
        </w:rPr>
        <w:t>Registration process questions</w:t>
      </w:r>
    </w:p>
    <w:p w:rsidR="00FF5CCB" w:rsidRDefault="00DA206D" w:rsidP="00B1008D">
      <w:r>
        <w:t>In the last few years CQC has been moving towards moving registration processes digitally.  We introduced New Provider o</w:t>
      </w:r>
      <w:r w:rsidR="00AC3A90">
        <w:t>nline r</w:t>
      </w:r>
      <w:r>
        <w:t>egistration,</w:t>
      </w:r>
      <w:r w:rsidR="00AC3A90">
        <w:t xml:space="preserve"> and have extended membership of the Provider Portal.</w:t>
      </w:r>
    </w:p>
    <w:p w:rsidR="00AC3A90" w:rsidRDefault="00AC3A90" w:rsidP="00B1008D">
      <w:r>
        <w:t xml:space="preserve">In order to assess the impact of this change we would like your answers </w:t>
      </w:r>
      <w:r w:rsidR="003F752A">
        <w:t xml:space="preserve">to </w:t>
      </w:r>
      <w:r>
        <w:t>the following questions:</w:t>
      </w:r>
    </w:p>
    <w:p w:rsidR="00B1008D" w:rsidRDefault="00B1008D" w:rsidP="003F752A">
      <w:pPr>
        <w:pStyle w:val="ListParagraph"/>
        <w:numPr>
          <w:ilvl w:val="0"/>
          <w:numId w:val="11"/>
        </w:numPr>
      </w:pPr>
      <w:r>
        <w:t>I</w:t>
      </w:r>
      <w:r w:rsidRPr="008433F0">
        <w:t xml:space="preserve">n all providers it is the </w:t>
      </w:r>
      <w:r>
        <w:t>Registered M</w:t>
      </w:r>
      <w:r w:rsidRPr="008433F0">
        <w:t xml:space="preserve">anager </w:t>
      </w:r>
      <w:r>
        <w:t xml:space="preserve">(RM) of the service who fills </w:t>
      </w:r>
      <w:r w:rsidR="003F752A">
        <w:t>in the following types of forms:</w:t>
      </w:r>
    </w:p>
    <w:p w:rsidR="00B1008D" w:rsidRDefault="00B1008D" w:rsidP="00B1008D">
      <w:pPr>
        <w:pStyle w:val="ListParagraph"/>
        <w:numPr>
          <w:ilvl w:val="0"/>
          <w:numId w:val="6"/>
        </w:numPr>
      </w:pPr>
      <w:r>
        <w:t>New provider application</w:t>
      </w:r>
    </w:p>
    <w:p w:rsidR="00B1008D" w:rsidRDefault="00B1008D" w:rsidP="00B1008D">
      <w:pPr>
        <w:pStyle w:val="ListParagraph"/>
        <w:numPr>
          <w:ilvl w:val="0"/>
          <w:numId w:val="6"/>
        </w:numPr>
      </w:pPr>
      <w:r>
        <w:t>Notification</w:t>
      </w:r>
    </w:p>
    <w:p w:rsidR="00B1008D" w:rsidRDefault="00B1008D" w:rsidP="00B1008D">
      <w:pPr>
        <w:pStyle w:val="ListParagraph"/>
        <w:numPr>
          <w:ilvl w:val="0"/>
          <w:numId w:val="6"/>
        </w:numPr>
      </w:pPr>
      <w:r>
        <w:t>Registration variation</w:t>
      </w:r>
    </w:p>
    <w:p w:rsidR="00B1008D" w:rsidRDefault="00B1008D" w:rsidP="00B1008D"/>
    <w:p w:rsidR="00B1008D" w:rsidRDefault="00B1008D" w:rsidP="003F752A">
      <w:pPr>
        <w:pStyle w:val="ListParagraph"/>
        <w:numPr>
          <w:ilvl w:val="0"/>
          <w:numId w:val="12"/>
        </w:numPr>
      </w:pPr>
      <w:r w:rsidRPr="008433F0">
        <w:t>Do you agree with these assumptions? (Yes/No)</w:t>
      </w:r>
      <w:r w:rsidR="003F752A">
        <w:br/>
      </w:r>
    </w:p>
    <w:p w:rsidR="003F752A" w:rsidRDefault="00B1008D" w:rsidP="00B1008D">
      <w:pPr>
        <w:pStyle w:val="ListParagraph"/>
        <w:numPr>
          <w:ilvl w:val="0"/>
          <w:numId w:val="12"/>
        </w:numPr>
      </w:pPr>
      <w:r>
        <w:t>If no, who does generally fill in these forms</w:t>
      </w:r>
      <w:r w:rsidRPr="008433F0">
        <w:t>?</w:t>
      </w:r>
      <w:r>
        <w:t xml:space="preserve">  </w:t>
      </w:r>
    </w:p>
    <w:p w:rsidR="003F752A" w:rsidRDefault="003F752A" w:rsidP="003F752A"/>
    <w:p w:rsidR="003F752A" w:rsidRDefault="003F752A" w:rsidP="003F752A">
      <w:pPr>
        <w:pStyle w:val="ListParagraph"/>
        <w:numPr>
          <w:ilvl w:val="0"/>
          <w:numId w:val="11"/>
        </w:numPr>
      </w:pPr>
      <w:r>
        <w:t>New provider application form</w:t>
      </w:r>
    </w:p>
    <w:p w:rsidR="003F752A" w:rsidRDefault="008033D8" w:rsidP="003F752A">
      <w:pPr>
        <w:pStyle w:val="ListParagraph"/>
        <w:numPr>
          <w:ilvl w:val="0"/>
          <w:numId w:val="13"/>
        </w:numPr>
      </w:pPr>
      <w:r>
        <w:t>Have you completed a new p</w:t>
      </w:r>
      <w:r w:rsidR="00B1008D">
        <w:t xml:space="preserve">rovider </w:t>
      </w:r>
      <w:r w:rsidRPr="003F752A">
        <w:t>application</w:t>
      </w:r>
      <w:r w:rsidR="00B1008D">
        <w:t xml:space="preserve"> form using a paper or an email form?</w:t>
      </w:r>
      <w:r w:rsidR="00D348C3">
        <w:t xml:space="preserve"> (Yes/No)</w:t>
      </w:r>
      <w:r w:rsidR="003F752A">
        <w:br/>
      </w:r>
    </w:p>
    <w:p w:rsidR="00B1008D" w:rsidRDefault="00B1008D" w:rsidP="003F752A">
      <w:pPr>
        <w:pStyle w:val="ListParagraph"/>
        <w:numPr>
          <w:ilvl w:val="0"/>
          <w:numId w:val="13"/>
        </w:numPr>
      </w:pPr>
      <w:r>
        <w:t xml:space="preserve">If yes, on average how </w:t>
      </w:r>
      <w:r w:rsidRPr="003F752A">
        <w:t xml:space="preserve">long </w:t>
      </w:r>
      <w:r w:rsidR="008033D8" w:rsidRPr="003F752A">
        <w:t xml:space="preserve">(in hours) </w:t>
      </w:r>
      <w:r w:rsidRPr="003F752A">
        <w:t>would you say it takes</w:t>
      </w:r>
      <w:r w:rsidR="008033D8" w:rsidRPr="003F752A">
        <w:t xml:space="preserve"> </w:t>
      </w:r>
      <w:r w:rsidRPr="003F752A">
        <w:t xml:space="preserve">to complete a </w:t>
      </w:r>
      <w:r w:rsidR="008033D8" w:rsidRPr="003F752A">
        <w:t>new provider application in paper or email form</w:t>
      </w:r>
      <w:r w:rsidRPr="003F752A">
        <w:t>?</w:t>
      </w:r>
    </w:p>
    <w:p w:rsidR="00B1008D" w:rsidRDefault="00B1008D" w:rsidP="00B1008D"/>
    <w:p w:rsidR="003F752A" w:rsidRDefault="003F752A" w:rsidP="003F752A">
      <w:pPr>
        <w:pStyle w:val="ListParagraph"/>
        <w:numPr>
          <w:ilvl w:val="0"/>
          <w:numId w:val="11"/>
        </w:numPr>
        <w:tabs>
          <w:tab w:val="left" w:pos="1134"/>
        </w:tabs>
      </w:pPr>
      <w:r>
        <w:t>Registration variation form</w:t>
      </w:r>
    </w:p>
    <w:p w:rsidR="003F752A" w:rsidRDefault="00B1008D" w:rsidP="003F752A">
      <w:pPr>
        <w:pStyle w:val="ListParagraph"/>
        <w:numPr>
          <w:ilvl w:val="0"/>
          <w:numId w:val="15"/>
        </w:numPr>
        <w:tabs>
          <w:tab w:val="left" w:pos="1134"/>
        </w:tabs>
      </w:pPr>
      <w:r>
        <w:t>Do you submit your registration variation forms to CQC via email?</w:t>
      </w:r>
      <w:r w:rsidR="00D348C3">
        <w:t xml:space="preserve"> (Yes/No)</w:t>
      </w:r>
      <w:r w:rsidR="003F752A">
        <w:br/>
      </w:r>
    </w:p>
    <w:p w:rsidR="00B1008D" w:rsidRDefault="00B1008D" w:rsidP="003F752A">
      <w:pPr>
        <w:pStyle w:val="ListParagraph"/>
        <w:numPr>
          <w:ilvl w:val="0"/>
          <w:numId w:val="15"/>
        </w:numPr>
        <w:tabs>
          <w:tab w:val="left" w:pos="1134"/>
        </w:tabs>
      </w:pPr>
      <w:r>
        <w:t xml:space="preserve">If yes, on average how </w:t>
      </w:r>
      <w:r w:rsidRPr="003F752A">
        <w:t xml:space="preserve">long </w:t>
      </w:r>
      <w:r w:rsidR="008033D8" w:rsidRPr="003F752A">
        <w:t xml:space="preserve">(in hours) </w:t>
      </w:r>
      <w:r w:rsidRPr="003F752A">
        <w:t xml:space="preserve">would </w:t>
      </w:r>
      <w:r>
        <w:t>you say it takes to complete a registration variation form?</w:t>
      </w:r>
    </w:p>
    <w:p w:rsidR="003F752A" w:rsidRDefault="003F752A" w:rsidP="00B1008D"/>
    <w:p w:rsidR="003F752A" w:rsidRDefault="003F752A" w:rsidP="003F752A">
      <w:pPr>
        <w:pStyle w:val="ListParagraph"/>
        <w:numPr>
          <w:ilvl w:val="0"/>
          <w:numId w:val="11"/>
        </w:numPr>
        <w:tabs>
          <w:tab w:val="left" w:pos="1134"/>
        </w:tabs>
        <w:ind w:left="709" w:hanging="283"/>
      </w:pPr>
      <w:r>
        <w:t>Notification form</w:t>
      </w:r>
    </w:p>
    <w:p w:rsidR="003F752A" w:rsidRDefault="00B1008D" w:rsidP="003F752A">
      <w:pPr>
        <w:pStyle w:val="ListParagraph"/>
        <w:numPr>
          <w:ilvl w:val="0"/>
          <w:numId w:val="16"/>
        </w:numPr>
        <w:tabs>
          <w:tab w:val="left" w:pos="1134"/>
        </w:tabs>
      </w:pPr>
      <w:r>
        <w:t>Do you submit your notification forms to CQC via email?</w:t>
      </w:r>
      <w:r w:rsidR="00D348C3">
        <w:t xml:space="preserve"> (Yes/No)</w:t>
      </w:r>
      <w:r w:rsidR="003F752A">
        <w:br/>
      </w:r>
    </w:p>
    <w:p w:rsidR="006F4FD2" w:rsidRDefault="00B1008D" w:rsidP="00B1008D">
      <w:pPr>
        <w:pStyle w:val="ListParagraph"/>
        <w:numPr>
          <w:ilvl w:val="0"/>
          <w:numId w:val="16"/>
        </w:numPr>
        <w:tabs>
          <w:tab w:val="left" w:pos="1134"/>
        </w:tabs>
      </w:pPr>
      <w:r w:rsidRPr="003F752A">
        <w:t xml:space="preserve">If yes, on average how long </w:t>
      </w:r>
      <w:r w:rsidR="008033D8" w:rsidRPr="003F752A">
        <w:t xml:space="preserve">(in hours) </w:t>
      </w:r>
      <w:r w:rsidRPr="003F752A">
        <w:t>would you say it takes to complete a notification form?</w:t>
      </w:r>
    </w:p>
    <w:p w:rsidR="006F4FD2" w:rsidRDefault="006F4FD2" w:rsidP="006F4FD2">
      <w:pPr>
        <w:pStyle w:val="ListParagraph"/>
        <w:tabs>
          <w:tab w:val="left" w:pos="1134"/>
        </w:tabs>
        <w:ind w:left="1144"/>
      </w:pPr>
    </w:p>
    <w:p w:rsidR="00B1008D" w:rsidRDefault="006F4FD2" w:rsidP="006F4FD2">
      <w:pPr>
        <w:tabs>
          <w:tab w:val="left" w:pos="1134"/>
        </w:tabs>
        <w:rPr>
          <w:b/>
          <w:caps/>
        </w:rPr>
      </w:pPr>
      <w:r w:rsidRPr="006F4FD2">
        <w:rPr>
          <w:b/>
          <w:caps/>
        </w:rPr>
        <w:lastRenderedPageBreak/>
        <w:t xml:space="preserve">SECTION 3: </w:t>
      </w:r>
      <w:r w:rsidR="00B1008D" w:rsidRPr="006F4FD2">
        <w:rPr>
          <w:b/>
          <w:caps/>
        </w:rPr>
        <w:t>assessment frameworK</w:t>
      </w:r>
    </w:p>
    <w:p w:rsidR="00DB5B92" w:rsidRPr="00DB5B92" w:rsidRDefault="00DB5B92" w:rsidP="00DB5B92">
      <w:pPr>
        <w:pStyle w:val="NormalWeb"/>
        <w:rPr>
          <w:rFonts w:asciiTheme="minorHAnsi" w:hAnsiTheme="minorHAnsi"/>
          <w:sz w:val="22"/>
          <w:szCs w:val="22"/>
          <w:lang w:val="en"/>
        </w:rPr>
      </w:pPr>
      <w:r w:rsidRPr="00DB5B92">
        <w:rPr>
          <w:rFonts w:asciiTheme="minorHAnsi" w:hAnsiTheme="minorHAnsi"/>
          <w:sz w:val="22"/>
          <w:szCs w:val="22"/>
          <w:lang w:val="en"/>
        </w:rPr>
        <w:t xml:space="preserve">Earlier this year we </w:t>
      </w:r>
      <w:hyperlink r:id="rId5" w:history="1">
        <w:r w:rsidRPr="00C36179">
          <w:rPr>
            <w:rStyle w:val="Hyperlink"/>
            <w:rFonts w:asciiTheme="minorHAnsi" w:hAnsiTheme="minorHAnsi"/>
            <w:sz w:val="22"/>
            <w:szCs w:val="22"/>
            <w:lang w:val="en"/>
          </w:rPr>
          <w:t>consulted on changes to our assessment frameworks</w:t>
        </w:r>
      </w:hyperlink>
      <w:r>
        <w:rPr>
          <w:rFonts w:asciiTheme="minorHAnsi" w:hAnsiTheme="minorHAnsi"/>
          <w:sz w:val="22"/>
          <w:szCs w:val="22"/>
          <w:lang w:val="en"/>
        </w:rPr>
        <w:t xml:space="preserve"> across all sectors to reduce complexity and create more consistency. Our assessment frameworks include our five key questions, the key lines of enquiry (KLOEs) and prompts, and ratings characteristics. The consultation proposed replacing the current 11 provider handbooks with two updated assessment frameworks – one for health and one for adult social care. The outcome of this consultation will publish in June 2017.</w:t>
      </w:r>
    </w:p>
    <w:p w:rsidR="00B1008D" w:rsidRPr="00DA206D" w:rsidRDefault="00DA206D" w:rsidP="00DA206D">
      <w:r>
        <w:t xml:space="preserve">In order to assess the impact of this </w:t>
      </w:r>
      <w:r w:rsidR="00DB5B92">
        <w:t xml:space="preserve">proposed </w:t>
      </w:r>
      <w:r>
        <w:t xml:space="preserve">change we would like your answers </w:t>
      </w:r>
      <w:r w:rsidR="00DB5B92">
        <w:t xml:space="preserve">to </w:t>
      </w:r>
      <w:r>
        <w:t>the following questions:</w:t>
      </w:r>
    </w:p>
    <w:p w:rsidR="00DB5B92" w:rsidRDefault="00B1008D" w:rsidP="00B1008D">
      <w:pPr>
        <w:pStyle w:val="ListParagraph"/>
        <w:numPr>
          <w:ilvl w:val="0"/>
          <w:numId w:val="18"/>
        </w:numPr>
      </w:pPr>
      <w:r w:rsidRPr="00B1008D">
        <w:t xml:space="preserve">How many </w:t>
      </w:r>
      <w:r w:rsidR="00DA206D">
        <w:t>CQC Provider H</w:t>
      </w:r>
      <w:r w:rsidRPr="00B1008D">
        <w:t>andbooks do you currently refer to?</w:t>
      </w:r>
      <w:r w:rsidR="00DB5B92">
        <w:br/>
      </w:r>
    </w:p>
    <w:p w:rsidR="00DB5B92" w:rsidRDefault="00DB5B92" w:rsidP="00B1008D">
      <w:pPr>
        <w:pStyle w:val="ListParagraph"/>
        <w:numPr>
          <w:ilvl w:val="0"/>
          <w:numId w:val="18"/>
        </w:numPr>
      </w:pPr>
      <w:r>
        <w:t>If</w:t>
      </w:r>
      <w:r w:rsidR="00B1008D" w:rsidRPr="00B1008D">
        <w:t xml:space="preserve"> two assessment frameworks</w:t>
      </w:r>
      <w:r>
        <w:t xml:space="preserve"> are introduced (one for health and one for adult social care)</w:t>
      </w:r>
      <w:r w:rsidR="00B1008D" w:rsidRPr="00B1008D">
        <w:t xml:space="preserve"> will you refer to both or only one of these?</w:t>
      </w:r>
      <w:r>
        <w:br/>
      </w:r>
    </w:p>
    <w:p w:rsidR="00DB5B92" w:rsidRDefault="00B1008D" w:rsidP="00DB5B92">
      <w:pPr>
        <w:pStyle w:val="ListParagraph"/>
        <w:numPr>
          <w:ilvl w:val="0"/>
          <w:numId w:val="18"/>
        </w:numPr>
      </w:pPr>
      <w:r w:rsidRPr="00B1008D">
        <w:t xml:space="preserve">Have you developed internal quality assurance or monitoring processes that reflect CQC’s </w:t>
      </w:r>
      <w:r w:rsidR="00DB5B92">
        <w:t xml:space="preserve">current </w:t>
      </w:r>
      <w:r w:rsidRPr="00B1008D">
        <w:t>assessment framework?</w:t>
      </w:r>
    </w:p>
    <w:p w:rsidR="00DB5B92" w:rsidRDefault="00B1008D" w:rsidP="00DB5B92">
      <w:pPr>
        <w:pStyle w:val="ListParagraph"/>
        <w:numPr>
          <w:ilvl w:val="0"/>
          <w:numId w:val="19"/>
        </w:numPr>
      </w:pPr>
      <w:r w:rsidRPr="00B1008D">
        <w:t xml:space="preserve">If yes, reflecting on the proposed changes to the assessment frameworks, how long would it take you </w:t>
      </w:r>
      <w:r w:rsidR="0018393D">
        <w:t xml:space="preserve">(in hours) </w:t>
      </w:r>
      <w:r w:rsidRPr="00B1008D">
        <w:t xml:space="preserve">to change your assurance or monitoring processes to reflect </w:t>
      </w:r>
      <w:r w:rsidR="00DB5B92">
        <w:t>the changes in the frameworks?</w:t>
      </w:r>
    </w:p>
    <w:p w:rsidR="00B1008D" w:rsidRPr="00B1008D" w:rsidRDefault="00B1008D" w:rsidP="00DB5B92">
      <w:pPr>
        <w:pStyle w:val="ListParagraph"/>
        <w:numPr>
          <w:ilvl w:val="0"/>
          <w:numId w:val="19"/>
        </w:numPr>
      </w:pPr>
      <w:r w:rsidRPr="00B1008D">
        <w:t xml:space="preserve">Who in your </w:t>
      </w:r>
      <w:r w:rsidR="00DB5B92">
        <w:t xml:space="preserve">service </w:t>
      </w:r>
      <w:r w:rsidRPr="00B1008D">
        <w:t>would make these changes?</w:t>
      </w:r>
      <w:r w:rsidR="00DB5B92">
        <w:br/>
      </w:r>
    </w:p>
    <w:p w:rsidR="007A6C0E" w:rsidRDefault="00B1008D" w:rsidP="00DB5B92">
      <w:pPr>
        <w:pStyle w:val="ListParagraph"/>
        <w:numPr>
          <w:ilvl w:val="0"/>
          <w:numId w:val="18"/>
        </w:numPr>
      </w:pPr>
      <w:r w:rsidRPr="00B1008D">
        <w:t>Do you think the</w:t>
      </w:r>
      <w:r w:rsidR="00DB5B92">
        <w:t xml:space="preserve"> proposed</w:t>
      </w:r>
      <w:r w:rsidRPr="00B1008D">
        <w:t xml:space="preserve"> new assessment framework will mean you collect more information on an ongoing basis?  </w:t>
      </w:r>
      <w:r w:rsidR="007A6C0E">
        <w:t>(Yes / No)</w:t>
      </w:r>
    </w:p>
    <w:p w:rsidR="00B1008D" w:rsidRPr="00B1008D" w:rsidRDefault="00B1008D" w:rsidP="007A6C0E">
      <w:pPr>
        <w:pStyle w:val="ListParagraph"/>
        <w:numPr>
          <w:ilvl w:val="0"/>
          <w:numId w:val="20"/>
        </w:numPr>
      </w:pPr>
      <w:r w:rsidRPr="00B1008D">
        <w:t xml:space="preserve">If yes, how much more time </w:t>
      </w:r>
      <w:r w:rsidR="0018393D">
        <w:t xml:space="preserve">(in hours) </w:t>
      </w:r>
      <w:r w:rsidRPr="00B1008D">
        <w:t>do you think this will take per month?</w:t>
      </w:r>
    </w:p>
    <w:p w:rsidR="003E61A2" w:rsidRDefault="003E61A2">
      <w:pPr>
        <w:rPr>
          <w:b/>
        </w:rPr>
      </w:pPr>
    </w:p>
    <w:p w:rsidR="003E61A2" w:rsidRPr="003E61A2" w:rsidRDefault="003E61A2">
      <w:pPr>
        <w:rPr>
          <w:b/>
          <w:caps/>
        </w:rPr>
      </w:pPr>
    </w:p>
    <w:p w:rsidR="003E61A2" w:rsidRPr="003E61A2" w:rsidRDefault="003E61A2">
      <w:pPr>
        <w:rPr>
          <w:b/>
          <w:caps/>
        </w:rPr>
      </w:pPr>
    </w:p>
    <w:p w:rsidR="003E61A2" w:rsidRPr="003E61A2" w:rsidRDefault="003E61A2">
      <w:pPr>
        <w:rPr>
          <w:b/>
          <w:caps/>
        </w:rPr>
      </w:pPr>
    </w:p>
    <w:sectPr w:rsidR="003E61A2" w:rsidRPr="003E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ECE"/>
    <w:multiLevelType w:val="hybridMultilevel"/>
    <w:tmpl w:val="09789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9811539"/>
    <w:multiLevelType w:val="hybridMultilevel"/>
    <w:tmpl w:val="165C21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565E58"/>
    <w:multiLevelType w:val="hybridMultilevel"/>
    <w:tmpl w:val="EE56172A"/>
    <w:lvl w:ilvl="0" w:tplc="9EBE74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072B84"/>
    <w:multiLevelType w:val="hybridMultilevel"/>
    <w:tmpl w:val="B1E8B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07625"/>
    <w:multiLevelType w:val="multilevel"/>
    <w:tmpl w:val="FB7C886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A6617E"/>
    <w:multiLevelType w:val="hybridMultilevel"/>
    <w:tmpl w:val="59B00D3A"/>
    <w:lvl w:ilvl="0" w:tplc="B9E40894">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024FDB"/>
    <w:multiLevelType w:val="hybridMultilevel"/>
    <w:tmpl w:val="F8D000CA"/>
    <w:lvl w:ilvl="0" w:tplc="C84A5EBE">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3AA7577B"/>
    <w:multiLevelType w:val="hybridMultilevel"/>
    <w:tmpl w:val="AACCF8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AF03F89"/>
    <w:multiLevelType w:val="hybridMultilevel"/>
    <w:tmpl w:val="6A5E0F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E88375E"/>
    <w:multiLevelType w:val="hybridMultilevel"/>
    <w:tmpl w:val="68C6CDE2"/>
    <w:lvl w:ilvl="0" w:tplc="9EBE74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0C4443"/>
    <w:multiLevelType w:val="hybridMultilevel"/>
    <w:tmpl w:val="37F4DC56"/>
    <w:lvl w:ilvl="0" w:tplc="FEA22C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57142F"/>
    <w:multiLevelType w:val="hybridMultilevel"/>
    <w:tmpl w:val="6E4E380C"/>
    <w:lvl w:ilvl="0" w:tplc="00E233EC">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45A210C"/>
    <w:multiLevelType w:val="hybridMultilevel"/>
    <w:tmpl w:val="C668FC50"/>
    <w:lvl w:ilvl="0" w:tplc="BD063E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2E581C"/>
    <w:multiLevelType w:val="hybridMultilevel"/>
    <w:tmpl w:val="9B84B2CE"/>
    <w:lvl w:ilvl="0" w:tplc="9EBE74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064CAB"/>
    <w:multiLevelType w:val="hybridMultilevel"/>
    <w:tmpl w:val="4776D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763566B"/>
    <w:multiLevelType w:val="multilevel"/>
    <w:tmpl w:val="F8E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D4601"/>
    <w:multiLevelType w:val="hybridMultilevel"/>
    <w:tmpl w:val="CA22F7B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0"/>
  </w:num>
  <w:num w:numId="7">
    <w:abstractNumId w:val="0"/>
  </w:num>
  <w:num w:numId="8">
    <w:abstractNumId w:val="1"/>
  </w:num>
  <w:num w:numId="9">
    <w:abstractNumId w:val="8"/>
  </w:num>
  <w:num w:numId="10">
    <w:abstractNumId w:val="12"/>
  </w:num>
  <w:num w:numId="11">
    <w:abstractNumId w:val="16"/>
  </w:num>
  <w:num w:numId="12">
    <w:abstractNumId w:val="10"/>
  </w:num>
  <w:num w:numId="13">
    <w:abstractNumId w:val="9"/>
  </w:num>
  <w:num w:numId="14">
    <w:abstractNumId w:val="4"/>
  </w:num>
  <w:num w:numId="15">
    <w:abstractNumId w:val="5"/>
  </w:num>
  <w:num w:numId="16">
    <w:abstractNumId w:val="11"/>
  </w:num>
  <w:num w:numId="17">
    <w:abstractNumId w:val="15"/>
  </w:num>
  <w:num w:numId="18">
    <w:abstractNumId w:val="3"/>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DC"/>
    <w:rsid w:val="000607E4"/>
    <w:rsid w:val="0011571D"/>
    <w:rsid w:val="00164ADC"/>
    <w:rsid w:val="0018393D"/>
    <w:rsid w:val="0021008E"/>
    <w:rsid w:val="003E61A2"/>
    <w:rsid w:val="003F752A"/>
    <w:rsid w:val="00480690"/>
    <w:rsid w:val="005B6071"/>
    <w:rsid w:val="006F4FD2"/>
    <w:rsid w:val="007A6C0E"/>
    <w:rsid w:val="008033D8"/>
    <w:rsid w:val="008433F0"/>
    <w:rsid w:val="008D01B9"/>
    <w:rsid w:val="00AC3A90"/>
    <w:rsid w:val="00B1008D"/>
    <w:rsid w:val="00B359D4"/>
    <w:rsid w:val="00BF5E71"/>
    <w:rsid w:val="00C04583"/>
    <w:rsid w:val="00C36179"/>
    <w:rsid w:val="00C816C0"/>
    <w:rsid w:val="00CF1F2C"/>
    <w:rsid w:val="00D348C3"/>
    <w:rsid w:val="00DA206D"/>
    <w:rsid w:val="00DB5B92"/>
    <w:rsid w:val="00F629A4"/>
    <w:rsid w:val="00F7184E"/>
    <w:rsid w:val="00FD5BA6"/>
    <w:rsid w:val="00FF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8C9C1-A5FE-458C-B599-0A563416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1A2"/>
    <w:pPr>
      <w:spacing w:after="0" w:line="240" w:lineRule="auto"/>
      <w:ind w:left="720"/>
    </w:pPr>
    <w:rPr>
      <w:rFonts w:ascii="Calibri" w:hAnsi="Calibri" w:cs="Calibri"/>
    </w:rPr>
  </w:style>
  <w:style w:type="character" w:styleId="Hyperlink">
    <w:name w:val="Hyperlink"/>
    <w:basedOn w:val="DefaultParagraphFont"/>
    <w:uiPriority w:val="99"/>
    <w:unhideWhenUsed/>
    <w:rsid w:val="003E61A2"/>
    <w:rPr>
      <w:color w:val="0000FF"/>
      <w:u w:val="single"/>
    </w:rPr>
  </w:style>
  <w:style w:type="table" w:styleId="TableGrid">
    <w:name w:val="Table Grid"/>
    <w:basedOn w:val="TableNormal"/>
    <w:uiPriority w:val="59"/>
    <w:rsid w:val="0084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5B92"/>
    <w:rPr>
      <w:color w:val="800080" w:themeColor="followedHyperlink"/>
      <w:u w:val="single"/>
    </w:rPr>
  </w:style>
  <w:style w:type="paragraph" w:styleId="NormalWeb">
    <w:name w:val="Normal (Web)"/>
    <w:basedOn w:val="Normal"/>
    <w:uiPriority w:val="99"/>
    <w:unhideWhenUsed/>
    <w:rsid w:val="00DB5B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1392">
      <w:bodyDiv w:val="1"/>
      <w:marLeft w:val="0"/>
      <w:marRight w:val="0"/>
      <w:marTop w:val="0"/>
      <w:marBottom w:val="0"/>
      <w:divBdr>
        <w:top w:val="none" w:sz="0" w:space="0" w:color="auto"/>
        <w:left w:val="none" w:sz="0" w:space="0" w:color="auto"/>
        <w:bottom w:val="none" w:sz="0" w:space="0" w:color="auto"/>
        <w:right w:val="none" w:sz="0" w:space="0" w:color="auto"/>
      </w:divBdr>
    </w:div>
    <w:div w:id="106168426">
      <w:bodyDiv w:val="1"/>
      <w:marLeft w:val="0"/>
      <w:marRight w:val="0"/>
      <w:marTop w:val="0"/>
      <w:marBottom w:val="0"/>
      <w:divBdr>
        <w:top w:val="none" w:sz="0" w:space="0" w:color="auto"/>
        <w:left w:val="none" w:sz="0" w:space="0" w:color="auto"/>
        <w:bottom w:val="none" w:sz="0" w:space="0" w:color="auto"/>
        <w:right w:val="none" w:sz="0" w:space="0" w:color="auto"/>
      </w:divBdr>
    </w:div>
    <w:div w:id="324894050">
      <w:bodyDiv w:val="1"/>
      <w:marLeft w:val="0"/>
      <w:marRight w:val="0"/>
      <w:marTop w:val="0"/>
      <w:marBottom w:val="0"/>
      <w:divBdr>
        <w:top w:val="none" w:sz="0" w:space="0" w:color="auto"/>
        <w:left w:val="none" w:sz="0" w:space="0" w:color="auto"/>
        <w:bottom w:val="none" w:sz="0" w:space="0" w:color="auto"/>
        <w:right w:val="none" w:sz="0" w:space="0" w:color="auto"/>
      </w:divBdr>
    </w:div>
    <w:div w:id="440339747">
      <w:bodyDiv w:val="1"/>
      <w:marLeft w:val="0"/>
      <w:marRight w:val="0"/>
      <w:marTop w:val="0"/>
      <w:marBottom w:val="0"/>
      <w:divBdr>
        <w:top w:val="none" w:sz="0" w:space="0" w:color="auto"/>
        <w:left w:val="none" w:sz="0" w:space="0" w:color="auto"/>
        <w:bottom w:val="none" w:sz="0" w:space="0" w:color="auto"/>
        <w:right w:val="none" w:sz="0" w:space="0" w:color="auto"/>
      </w:divBdr>
    </w:div>
    <w:div w:id="450168310">
      <w:bodyDiv w:val="1"/>
      <w:marLeft w:val="0"/>
      <w:marRight w:val="0"/>
      <w:marTop w:val="0"/>
      <w:marBottom w:val="0"/>
      <w:divBdr>
        <w:top w:val="none" w:sz="0" w:space="0" w:color="auto"/>
        <w:left w:val="none" w:sz="0" w:space="0" w:color="auto"/>
        <w:bottom w:val="none" w:sz="0" w:space="0" w:color="auto"/>
        <w:right w:val="none" w:sz="0" w:space="0" w:color="auto"/>
      </w:divBdr>
      <w:divsChild>
        <w:div w:id="1205632456">
          <w:marLeft w:val="0"/>
          <w:marRight w:val="0"/>
          <w:marTop w:val="0"/>
          <w:marBottom w:val="0"/>
          <w:divBdr>
            <w:top w:val="none" w:sz="0" w:space="0" w:color="auto"/>
            <w:left w:val="none" w:sz="0" w:space="0" w:color="auto"/>
            <w:bottom w:val="none" w:sz="0" w:space="0" w:color="auto"/>
            <w:right w:val="none" w:sz="0" w:space="0" w:color="auto"/>
          </w:divBdr>
          <w:divsChild>
            <w:div w:id="1746025131">
              <w:marLeft w:val="0"/>
              <w:marRight w:val="0"/>
              <w:marTop w:val="0"/>
              <w:marBottom w:val="0"/>
              <w:divBdr>
                <w:top w:val="none" w:sz="0" w:space="0" w:color="auto"/>
                <w:left w:val="none" w:sz="0" w:space="0" w:color="auto"/>
                <w:bottom w:val="none" w:sz="0" w:space="0" w:color="auto"/>
                <w:right w:val="none" w:sz="0" w:space="0" w:color="auto"/>
              </w:divBdr>
              <w:divsChild>
                <w:div w:id="996225223">
                  <w:marLeft w:val="0"/>
                  <w:marRight w:val="0"/>
                  <w:marTop w:val="0"/>
                  <w:marBottom w:val="0"/>
                  <w:divBdr>
                    <w:top w:val="none" w:sz="0" w:space="0" w:color="auto"/>
                    <w:left w:val="none" w:sz="0" w:space="0" w:color="auto"/>
                    <w:bottom w:val="none" w:sz="0" w:space="0" w:color="auto"/>
                    <w:right w:val="none" w:sz="0" w:space="0" w:color="auto"/>
                  </w:divBdr>
                  <w:divsChild>
                    <w:div w:id="1125005090">
                      <w:marLeft w:val="0"/>
                      <w:marRight w:val="0"/>
                      <w:marTop w:val="0"/>
                      <w:marBottom w:val="0"/>
                      <w:divBdr>
                        <w:top w:val="none" w:sz="0" w:space="0" w:color="auto"/>
                        <w:left w:val="none" w:sz="0" w:space="0" w:color="auto"/>
                        <w:bottom w:val="none" w:sz="0" w:space="0" w:color="auto"/>
                        <w:right w:val="none" w:sz="0" w:space="0" w:color="auto"/>
                      </w:divBdr>
                      <w:divsChild>
                        <w:div w:id="2098861309">
                          <w:marLeft w:val="0"/>
                          <w:marRight w:val="0"/>
                          <w:marTop w:val="0"/>
                          <w:marBottom w:val="0"/>
                          <w:divBdr>
                            <w:top w:val="none" w:sz="0" w:space="0" w:color="auto"/>
                            <w:left w:val="none" w:sz="0" w:space="0" w:color="auto"/>
                            <w:bottom w:val="none" w:sz="0" w:space="0" w:color="auto"/>
                            <w:right w:val="none" w:sz="0" w:space="0" w:color="auto"/>
                          </w:divBdr>
                          <w:divsChild>
                            <w:div w:id="1739478569">
                              <w:marLeft w:val="0"/>
                              <w:marRight w:val="0"/>
                              <w:marTop w:val="0"/>
                              <w:marBottom w:val="0"/>
                              <w:divBdr>
                                <w:top w:val="none" w:sz="0" w:space="0" w:color="auto"/>
                                <w:left w:val="none" w:sz="0" w:space="0" w:color="auto"/>
                                <w:bottom w:val="none" w:sz="0" w:space="0" w:color="auto"/>
                                <w:right w:val="none" w:sz="0" w:space="0" w:color="auto"/>
                              </w:divBdr>
                              <w:divsChild>
                                <w:div w:id="320548359">
                                  <w:marLeft w:val="0"/>
                                  <w:marRight w:val="0"/>
                                  <w:marTop w:val="0"/>
                                  <w:marBottom w:val="0"/>
                                  <w:divBdr>
                                    <w:top w:val="none" w:sz="0" w:space="0" w:color="auto"/>
                                    <w:left w:val="none" w:sz="0" w:space="0" w:color="auto"/>
                                    <w:bottom w:val="none" w:sz="0" w:space="0" w:color="auto"/>
                                    <w:right w:val="none" w:sz="0" w:space="0" w:color="auto"/>
                                  </w:divBdr>
                                  <w:divsChild>
                                    <w:div w:id="2116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6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qc.org.uk/content/our-next-phase-regu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Emily</dc:creator>
  <cp:lastModifiedBy>Lisa Draper</cp:lastModifiedBy>
  <cp:revision>2</cp:revision>
  <dcterms:created xsi:type="dcterms:W3CDTF">2017-05-17T11:26:00Z</dcterms:created>
  <dcterms:modified xsi:type="dcterms:W3CDTF">2017-05-17T11:26:00Z</dcterms:modified>
</cp:coreProperties>
</file>